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Program kursu/szkolenia </w:t>
      </w:r>
      <w:r>
        <w:rPr>
          <w:b/>
          <w:sz w:val="32"/>
          <w:szCs w:val="32"/>
        </w:rPr>
        <w:t>realizowanego w ramach Programu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Inicjatywa Doskonałości – Uczelnia Badawcza” (IDUB)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tbl>
      <w:tblPr>
        <w:tblStyle w:val="a1"/>
        <w:tblW w:w="9736" w:type="dxa"/>
        <w:jc w:val="left"/>
        <w:tblInd w:w="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68"/>
        <w:gridCol w:w="6867"/>
      </w:tblGrid>
      <w:tr>
        <w:trPr>
          <w:trHeight w:val="23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Angielski praktyczny poziom B1 V semestr  - Kurs dedykowany Bibliotekarzom U.W.</w:t>
            </w:r>
          </w:p>
          <w:p>
            <w:pPr>
              <w:pStyle w:val="Normal"/>
              <w:spacing w:before="60" w:after="6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5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Kurs dedykowany dla Bibliotekarzy U.W.</w:t>
            </w:r>
          </w:p>
        </w:tc>
      </w:tr>
      <w:tr>
        <w:trPr>
          <w:trHeight w:val="244" w:hRule="atLeast"/>
        </w:trPr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Informacje dotyczące prowadzącego kurs/szkolenie: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Małgorzata  Rytelewska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Starszy asystent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Szkoła Języków Obcych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m.rytelewska@uw.edu.pl</w:t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wykształcenie filologiczne (Wydz. Anglistyki)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wieloletnie doświadczenie w pracy lektora języka angielskiego, w tym języka dla potrzeb akademickich i naukowych (lektoraty, kursy indywidualne i komercyjne, kursy specjalistyczne, kursy dla doktorantów)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wieloletnia współpraca z jednostkami (także w projektach) udzielającymi szkoleń dla kadry administracyjnej Uniwersytetu Warszawskiego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wieloletnie doświadczenie w pracy trenera/ szkoleniowca – warsztaty i szkolenia metodyczne dla nauczycieli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doświadczenie w pracy ze studentami obcojęzycznymi (w tym prowadzenie kursów Foundation Year dla studentów z zagranicy)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prowadzenie egzaminów doktorskich z języka angielskiego</w:t>
            </w:r>
          </w:p>
        </w:tc>
      </w:tr>
      <w:tr>
        <w:trPr/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DDD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Informacje dotyczące kursu/szkolenia:</w:t>
            </w:r>
          </w:p>
        </w:tc>
      </w:tr>
      <w:tr>
        <w:trPr>
          <w:trHeight w:val="139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godzin</w:t>
            </w:r>
            <w:r>
              <w:rPr>
                <w:rStyle w:val="Zakotwiczenieprzypisudolnego"/>
                <w:color w:val="000000"/>
                <w:sz w:val="24"/>
                <w:szCs w:val="24"/>
              </w:rPr>
              <w:footnoteReference w:id="2"/>
            </w:r>
          </w:p>
        </w:tc>
      </w:tr>
      <w:tr>
        <w:trPr>
          <w:trHeight w:val="139" w:hRule="atLeast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Data kursu/szkolenia</w:t>
            </w:r>
            <w:r>
              <w:rPr>
                <w:rStyle w:val="Zakotwiczenieprzypisudolnego"/>
                <w:b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Środa,</w:t>
            </w:r>
            <w:r>
              <w:rPr>
                <w:color w:val="000000" w:themeColor="text1"/>
                <w:sz w:val="24"/>
                <w:szCs w:val="24"/>
              </w:rPr>
              <w:t>13:00-14.30</w:t>
            </w:r>
          </w:p>
        </w:tc>
      </w:tr>
      <w:tr>
        <w:trPr/>
        <w:tc>
          <w:tcPr>
            <w:tcW w:w="28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 – line, z wykorzystaniem aplikacji (podkreśl właściwe):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Zoom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Google Meet</w:t>
            </w:r>
          </w:p>
          <w:p>
            <w:pPr>
              <w:pStyle w:val="ListParagraph"/>
              <w:numPr>
                <w:ilvl w:val="1"/>
                <w:numId w:val="3"/>
              </w:num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Innej, jakiej? …………………</w:t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bookmarkStart w:id="2" w:name="_heading=h.30j0zll"/>
            <w:bookmarkEnd w:id="2"/>
            <w:r>
              <w:rPr>
                <w:color w:val="000000"/>
                <w:sz w:val="24"/>
                <w:szCs w:val="24"/>
              </w:rPr>
              <w:t>od … do … osób</w:t>
            </w:r>
          </w:p>
        </w:tc>
      </w:tr>
      <w:tr>
        <w:trPr>
          <w:trHeight w:val="1174" w:hRule="atLeast"/>
        </w:trPr>
        <w:tc>
          <w:tcPr>
            <w:tcW w:w="28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Cele kursu/szkolenia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Cel ogólny (1 zdanie): </w:t>
            </w:r>
          </w:p>
          <w:p>
            <w:pPr>
              <w:pStyle w:val="Normal"/>
              <w:spacing w:before="60" w:after="6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Nabycie umiejętności porozumiewania się w języku angielskim  na poziomie</w:t>
            </w: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</w:rPr>
              <w:t xml:space="preserve"> średnio-zaawansowanym, z uwzględnieniem słownictwa związanego z poruszaną tematyką; rozumienie norm wielokulturowych i zdobywanie kompetencji interkulturowej; poprawa efektywności komunikacji z czytelnikami – w tym z badaczami cudzoziemcami i studentami cudzoziemcami prowadzącymi badania.</w:t>
            </w:r>
          </w:p>
        </w:tc>
      </w:tr>
      <w:tr>
        <w:trPr>
          <w:trHeight w:val="947" w:hRule="atLeast"/>
        </w:trPr>
        <w:tc>
          <w:tcPr>
            <w:tcW w:w="28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Cele szczegółowe (opisz w 3 – 5 punktach):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zapoznanie uczestników ze słownictwem i strukturami związanymi z tematycznymi zagadnieniami kursu, w tym słownictwem dla potrzeb pracy administracyjnej </w:t>
            </w:r>
            <w:r>
              <w:rPr>
                <w:rFonts w:eastAsia="Calibri"/>
                <w:color w:val="000000"/>
                <w:sz w:val="24"/>
                <w:szCs w:val="24"/>
                <w:lang w:eastAsia="pl-PL"/>
              </w:rPr>
              <w:t>na uczelni wyższej oraz przydatne w komunikacji z czytelnikami – w tym z badaczami cudzoziemcami i studentami cudzoziemcami prowadzącymi badania 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rozwijanie kompetencji komunikacyjnej uczestników.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rozwijanie umiejętności rozumienia autentycznej mowy i autentycznych tekstów pisanych w języku docelowym.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przećwiczenie i utrwalenie struktur i słownictwa z zakresu tematycznego kursu.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rozwijanie kompetencji interkulturowej</w:t>
            </w:r>
          </w:p>
          <w:p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rozwijanie autonomii uczących się i ich motywacji do samodzielnej pracy nad językiem</w:t>
            </w:r>
          </w:p>
        </w:tc>
      </w:tr>
      <w:tr>
        <w:trPr>
          <w:trHeight w:val="1080" w:hRule="atLeast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Opis programu zajęć</w:t>
            </w:r>
          </w:p>
          <w:p>
            <w:pPr>
              <w:pStyle w:val="Normal"/>
              <w:spacing w:before="60" w:after="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(opisz w 5 - 7 punktach)</w:t>
              <w:br/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6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sz w:val="24"/>
                <w:szCs w:val="24"/>
              </w:rPr>
              <w:t>Housing and Accommodation.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  <w:sz w:val="24"/>
                <w:szCs w:val="24"/>
              </w:rPr>
              <w:t>Practical English-Expressing conditions.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  <w:sz w:val="24"/>
                <w:szCs w:val="24"/>
              </w:rPr>
              <w:t xml:space="preserve">Practical English- </w:t>
            </w:r>
            <w:r>
              <w:rPr>
                <w:color w:val="000000"/>
                <w:sz w:val="24"/>
                <w:szCs w:val="24"/>
              </w:rPr>
              <w:t>Making suggestions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  <w:sz w:val="24"/>
                <w:szCs w:val="24"/>
              </w:rPr>
              <w:t>The right job for you/Applying for jobs and being employed.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  <w:sz w:val="24"/>
                <w:szCs w:val="24"/>
              </w:rPr>
              <w:t>Writing emails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communication online with coworkers, academics, researchers and  students- </w:t>
            </w:r>
            <w:r>
              <w:rPr>
                <w:color w:val="000000"/>
                <w:sz w:val="24"/>
                <w:szCs w:val="24"/>
              </w:rPr>
              <w:t>Part 2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  <w:sz w:val="24"/>
                <w:szCs w:val="24"/>
              </w:rPr>
              <w:t xml:space="preserve">In the university library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– working with academics, researchers and  students.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/>
            </w:pPr>
            <w:r>
              <w:rPr>
                <w:color w:val="000000"/>
                <w:sz w:val="24"/>
                <w:szCs w:val="24"/>
              </w:rPr>
              <w:t xml:space="preserve">Podsumowanie, zakończenie, przekierowanie uczestników do wypełnienia post-testu na platformę </w:t>
            </w:r>
            <w:hyperlink r:id="rId2">
              <w:r>
                <w:rPr>
                  <w:rStyle w:val="ListLabel63"/>
                  <w:rFonts w:eastAsia="Arial"/>
                  <w:color w:val="0000FF"/>
                  <w:sz w:val="24"/>
                  <w:szCs w:val="24"/>
                  <w:u w:val="single"/>
                </w:rPr>
                <w:t>www.szkolenia-rozwoj.uw.edu.pl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938" w:hRule="atLeast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Oczekiwania pod adresem uczestników </w:t>
            </w:r>
            <w:r>
              <w:rPr>
                <w:sz w:val="24"/>
                <w:szCs w:val="24"/>
              </w:rPr>
              <w:t>(umiejętności, oprogramowanie, sprzęt) – jeśli dotyczy</w:t>
            </w:r>
          </w:p>
          <w:p>
            <w:pPr>
              <w:pStyle w:val="Normal"/>
              <w:spacing w:before="60" w:after="60"/>
              <w:rPr/>
            </w:pPr>
            <w:bookmarkStart w:id="3" w:name="__DdeLink__227_3044989897"/>
            <w:r>
              <w:rPr>
                <w:sz w:val="24"/>
                <w:szCs w:val="24"/>
              </w:rPr>
              <w:t xml:space="preserve">Do zaliczenia kursu wymagane jest 80% obecności tj. na 30 godz. dopuszczalne są 3 nieobecności na zajęciach (6 godz. dyd.). </w:t>
            </w:r>
            <w:bookmarkEnd w:id="3"/>
          </w:p>
          <w:p>
            <w:pPr>
              <w:pStyle w:val="Normal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Dostęp do łącza internetowego; możliwość korzystania z aplikacji zoom; sprzęt potrzebny do odbioru audiowizualnego i komunikacji podczas spotkań on-line (np. zestaw słuchawkowy,/ mikrofon i głośniki, kamera w laptopie itp.)</w:t>
            </w:r>
          </w:p>
        </w:tc>
      </w:tr>
      <w:tr>
        <w:trPr>
          <w:trHeight w:val="938" w:hRule="atLeast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Efekty kształcenia </w:t>
            </w:r>
            <w:r>
              <w:rPr>
                <w:color w:val="000000"/>
                <w:sz w:val="24"/>
                <w:szCs w:val="24"/>
              </w:rPr>
              <w:t>(wymień w 3 – 5 punktach)</w:t>
            </w:r>
          </w:p>
          <w:p>
            <w:pPr>
              <w:pStyle w:val="Normal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Po ukończeniu szkolenia uczestnik: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pl-PL"/>
              </w:rPr>
              <w:t>potrafi komunikować się (w formie ustnej oraz pisemnej) na tematy zawarte w programie tego kursu używając stosownej leksyki i struktur gramatycznych na poziomie średnio-zaawansowanym.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l-PL"/>
              </w:rPr>
              <w:t>Rozumie, w tym autentyczne, teksty pisane oraz wypowiedzi ustne na poziomie średnio-zaawansowanym.</w:t>
            </w:r>
          </w:p>
          <w:p>
            <w:pPr>
              <w:pStyle w:val="Normal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potrafi korzystać z pomocy źródłowych oraz wyszukiwać informacje w języku angielskim dla potrzeb pracy administracyjnej i potrzeb współpracy ze studentami i pracownikami z zagranicy. </w:t>
            </w:r>
          </w:p>
          <w:p>
            <w:pPr>
              <w:pStyle w:val="Normal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jest świadom różnic </w:t>
            </w:r>
            <w:r>
              <w:rPr>
                <w:rFonts w:eastAsia="Calibri"/>
                <w:color w:val="000000"/>
                <w:sz w:val="24"/>
                <w:szCs w:val="24"/>
                <w:lang w:eastAsia="pl-PL"/>
              </w:rPr>
              <w:t>inter-kulturowych dotyczących obszaru krajów anglojęzycznych.</w:t>
            </w:r>
          </w:p>
          <w:p>
            <w:pPr>
              <w:pStyle w:val="Normal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pl-PL"/>
              </w:rPr>
              <w:t>zna odpowiednie zwroty i słownictwo ułatwiające zastosowaniem języka angielskiego w pracy administracyjnej na uczelni wyższej oraz przydatne w komunikacji z pracownikami administracyjnymi, naukowymi i studentami cudzoziemcami – w tym z badaczami i studentami prowadzącymi badania.</w:t>
            </w:r>
          </w:p>
        </w:tc>
      </w:tr>
      <w:tr>
        <w:trPr/>
        <w:tc>
          <w:tcPr>
            <w:tcW w:w="9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ind w:left="360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Metody pracy </w:t>
            </w:r>
            <w:r>
              <w:rPr>
                <w:color w:val="000000"/>
                <w:sz w:val="24"/>
                <w:szCs w:val="24"/>
              </w:rPr>
              <w:t>(podkreśl właściwe lub zaproponuj własne):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raca indywidualna,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raca w parach,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raca w podgrupach,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b/>
                <w:b/>
                <w:color w:val="000000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ateriały audiowizualne,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rezentacje,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urza mózgów,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yskusja na forum całej grupy,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zdalne ćwiczenia interaktywne.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60"/>
              <w:ind w:left="7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238" w:hRule="atLeast"/>
        </w:trPr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Metody weryfikacji efektów kształcenia </w:t>
            </w:r>
            <w:r>
              <w:rPr>
                <w:color w:val="000000"/>
                <w:sz w:val="24"/>
                <w:szCs w:val="24"/>
              </w:rPr>
              <w:t>(wymagane w IDUB)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pre-test</w:t>
            </w:r>
          </w:p>
          <w:p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/>
              <w:jc w:val="both"/>
              <w:rPr>
                <w:b/>
                <w:b/>
                <w:bCs/>
                <w:color w:val="000000"/>
              </w:rPr>
            </w:pPr>
            <w:r>
              <w:rPr>
                <w:color w:val="000000" w:themeColor="text1"/>
                <w:sz w:val="24"/>
                <w:szCs w:val="24"/>
              </w:rPr>
              <w:t>post-test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60" w:after="60"/>
              <w:ind w:left="1440" w:hanging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701" w:footer="353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rPr>
        <w:color w:val="000000"/>
      </w:rPr>
    </w:pPr>
    <w:r>
      <w:rPr>
        <w:color w:val="00000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8"/>
          <w:szCs w:val="18"/>
        </w:rPr>
        <w:t>zaznacz jeśli szkolenie może być realizowane w kilku częściach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right"/>
      <w:rPr>
        <w:color w:val="000000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65405</wp:posOffset>
          </wp:positionH>
          <wp:positionV relativeFrom="paragraph">
            <wp:posOffset>-449580</wp:posOffset>
          </wp:positionV>
          <wp:extent cx="5760720" cy="814260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03188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03188"/>
    <w:rPr>
      <w:rFonts w:ascii="Times New Roman" w:hAnsi="Times New Roman" w:eastAsia="Arial Unicode MS" w:cs="Times New Roman"/>
      <w:kern w:val="2"/>
      <w:lang w:val="pl-PL"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03188"/>
    <w:rPr>
      <w:rFonts w:ascii="Times New Roman" w:hAnsi="Times New Roman" w:eastAsia="Arial Unicode MS" w:cs="Times New Roman"/>
      <w:kern w:val="2"/>
      <w:lang w:val="pl-PL" w:eastAsia="ar-SA"/>
    </w:rPr>
  </w:style>
  <w:style w:type="character" w:styleId="Znakiprzypiswdolnych" w:customStyle="1">
    <w:name w:val="Znaki przypisów dolnych"/>
    <w:qFormat/>
    <w:rsid w:val="0090318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188"/>
    <w:rPr>
      <w:rFonts w:ascii="Lucida Grande CE" w:hAnsi="Lucida Grande CE" w:eastAsia="Arial Unicode MS" w:cs="Lucida Grande CE"/>
      <w:kern w:val="2"/>
      <w:sz w:val="18"/>
      <w:szCs w:val="18"/>
      <w:lang w:val="pl-PL" w:eastAsia="ar-SA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327a8d"/>
    <w:rPr>
      <w:rFonts w:ascii="Times New Roman" w:hAnsi="Times New Roman" w:eastAsia="Arial Unicode MS" w:cs="Times New Roman"/>
      <w:kern w:val="2"/>
      <w:sz w:val="20"/>
      <w:szCs w:val="20"/>
      <w:lang w:val="pl-PL" w:eastAsia="ar-SA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327a8d"/>
    <w:rPr>
      <w:rFonts w:ascii="Times New Roman" w:hAnsi="Times New Roman" w:eastAsia="Arial Unicode MS" w:cs="Times New Roman"/>
      <w:b/>
      <w:bCs/>
      <w:kern w:val="2"/>
      <w:sz w:val="20"/>
      <w:szCs w:val="20"/>
      <w:lang w:val="pl-PL" w:eastAsia="ar-SA"/>
    </w:rPr>
  </w:style>
  <w:style w:type="character" w:styleId="TematkomentarzaZnak1" w:customStyle="1">
    <w:name w:val="Temat komentarza Znak1"/>
    <w:basedOn w:val="TekstkomentarzaZnak1"/>
    <w:link w:val="Tematkomentarza"/>
    <w:uiPriority w:val="99"/>
    <w:semiHidden/>
    <w:qFormat/>
    <w:rPr>
      <w:b/>
      <w:bCs/>
      <w:sz w:val="20"/>
      <w:szCs w:val="20"/>
    </w:rPr>
  </w:style>
  <w:style w:type="character" w:styleId="TekstkomentarzaZnak1" w:customStyle="1">
    <w:name w:val="Tekst komentarza Znak1"/>
    <w:link w:val="Tekstkomentarza"/>
    <w:uiPriority w:val="99"/>
    <w:semiHidden/>
    <w:qFormat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6879c2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879c2"/>
    <w:rPr>
      <w:color w:val="605E5C"/>
      <w:shd w:fill="E1DFDD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b2603"/>
    <w:rPr>
      <w:rFonts w:eastAsia="Arial Unicode MS"/>
      <w:kern w:val="2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2603"/>
    <w:rPr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Courier New" w:cs="Courier New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Courier New" w:cs="Courier New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Noto Sans Symbols" w:cs="Noto Sans Symbols"/>
    </w:rPr>
  </w:style>
  <w:style w:type="character" w:styleId="ListLabel18">
    <w:name w:val="ListLabel 18"/>
    <w:qFormat/>
    <w:rPr>
      <w:rFonts w:eastAsia="Courier New" w:cs="Courier New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Courier New" w:cs="Courier New"/>
    </w:rPr>
  </w:style>
  <w:style w:type="character" w:styleId="ListLabel23">
    <w:name w:val="ListLabel 23"/>
    <w:qFormat/>
    <w:rPr>
      <w:rFonts w:eastAsia="Noto Sans Symbols" w:cs="Noto Sans Symbols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Courier New" w:cs="Courier New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Courier New" w:cs="Courier New"/>
    </w:rPr>
  </w:style>
  <w:style w:type="character" w:styleId="ListLabel29">
    <w:name w:val="ListLabel 29"/>
    <w:qFormat/>
    <w:rPr>
      <w:rFonts w:eastAsia="Noto Sans Symbols" w:cs="Noto Sans Symbols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Courier New" w:cs="Courier New"/>
    </w:rPr>
  </w:style>
  <w:style w:type="character" w:styleId="ListLabel32">
    <w:name w:val="ListLabel 32"/>
    <w:qFormat/>
    <w:rPr>
      <w:rFonts w:eastAsia="Noto Sans Symbols" w:cs="Noto Sans Symbols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Courier New" w:cs="Courier New"/>
    </w:rPr>
  </w:style>
  <w:style w:type="character" w:styleId="ListLabel35">
    <w:name w:val="ListLabel 35"/>
    <w:qFormat/>
    <w:rPr>
      <w:rFonts w:eastAsia="Noto Sans Symbols" w:cs="Noto Sans Symbols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eastAsia="Courier New" w:cs="Courier New"/>
    </w:rPr>
  </w:style>
  <w:style w:type="character" w:styleId="ListLabel38">
    <w:name w:val="ListLabel 38"/>
    <w:qFormat/>
    <w:rPr>
      <w:rFonts w:eastAsia="Noto Sans Symbols" w:cs="Noto Sans Symbols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Courier New" w:cs="Courier New"/>
    </w:rPr>
  </w:style>
  <w:style w:type="character" w:styleId="ListLabel41">
    <w:name w:val="ListLabel 41"/>
    <w:qFormat/>
    <w:rPr>
      <w:rFonts w:eastAsia="Noto Sans Symbols" w:cs="Noto Sans Symbols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Courier New" w:cs="Courier New"/>
    </w:rPr>
  </w:style>
  <w:style w:type="character" w:styleId="ListLabel44">
    <w:name w:val="ListLabel 44"/>
    <w:qFormat/>
    <w:rPr>
      <w:rFonts w:eastAsia="Noto Sans Symbols" w:cs="Noto Sans Symbols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Courier New" w:cs="Courier New"/>
    </w:rPr>
  </w:style>
  <w:style w:type="character" w:styleId="ListLabel47">
    <w:name w:val="ListLabel 47"/>
    <w:qFormat/>
    <w:rPr>
      <w:rFonts w:eastAsia="Noto Sans Symbols" w:cs="Noto Sans Symbols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Arial"/>
      <w:color w:val="0000FF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  <w:b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Wingdings"/>
      <w:b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eastAsia="Arial"/>
      <w:color w:val="0000FF"/>
      <w:u w:val="single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  <w:b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Wingdings"/>
      <w:b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eastAsia="Arial"/>
      <w:color w:val="0000FF"/>
      <w:u w:val="single"/>
    </w:rPr>
  </w:style>
  <w:style w:type="character" w:styleId="ListLabel158">
    <w:name w:val="ListLabel 158"/>
    <w:qFormat/>
    <w:rPr>
      <w:rFonts w:ascii="Times New Roman" w:hAnsi="Times New Roman"/>
      <w:sz w:val="24"/>
      <w:szCs w:val="24"/>
    </w:rPr>
  </w:style>
  <w:style w:type="character" w:styleId="ListLabel159">
    <w:name w:val="ListLabel 159"/>
    <w:qFormat/>
    <w:rPr>
      <w:rFonts w:ascii="Times New Roman" w:hAnsi="Times New Roman" w:cs="Wingdings"/>
      <w:sz w:val="24"/>
    </w:rPr>
  </w:style>
  <w:style w:type="character" w:styleId="ListLabel160">
    <w:name w:val="ListLabel 160"/>
    <w:qFormat/>
    <w:rPr>
      <w:rFonts w:ascii="Times New Roman" w:hAnsi="Times New Roman" w:cs="Courier New"/>
      <w:sz w:val="24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ascii="Times New Roman" w:hAnsi="Times New Roman" w:cs="Wingdings"/>
      <w:b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ascii="Times New Roman" w:hAnsi="Times New Roman" w:cs="Wingdings"/>
      <w:sz w:val="24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ascii="Times New Roman" w:hAnsi="Times New Roman" w:cs="Wingdings"/>
      <w:sz w:val="24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  <w:b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ascii="Times New Roman" w:hAnsi="Times New Roman" w:eastAsia="Arial"/>
      <w:color w:val="0000FF"/>
      <w:sz w:val="24"/>
      <w:szCs w:val="24"/>
      <w:u w:val="single"/>
    </w:rPr>
  </w:style>
  <w:style w:type="character" w:styleId="ListLabel205">
    <w:name w:val="ListLabel 205"/>
    <w:qFormat/>
    <w:rPr>
      <w:rFonts w:ascii="Times New Roman" w:hAnsi="Times New Roman"/>
      <w:sz w:val="24"/>
      <w:szCs w:val="24"/>
    </w:rPr>
  </w:style>
  <w:style w:type="character" w:styleId="ListLabel206">
    <w:name w:val="ListLabel 206"/>
    <w:qFormat/>
    <w:rPr>
      <w:rFonts w:ascii="Times New Roman" w:hAnsi="Times New Roman" w:cs="Wingdings"/>
      <w:sz w:val="24"/>
    </w:rPr>
  </w:style>
  <w:style w:type="character" w:styleId="ListLabel207">
    <w:name w:val="ListLabel 207"/>
    <w:qFormat/>
    <w:rPr>
      <w:rFonts w:ascii="Times New Roman" w:hAnsi="Times New Roman" w:cs="Courier New"/>
      <w:sz w:val="24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 w:cs="Wingdings"/>
      <w:b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ascii="Times New Roman" w:hAnsi="Times New Roman" w:cs="Wingdings"/>
      <w:sz w:val="24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imes New Roman" w:hAnsi="Times New Roman" w:cs="Wingdings"/>
      <w:sz w:val="24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Wingdings"/>
      <w:b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eastAsia="Arial"/>
      <w:color w:val="0000FF"/>
      <w:sz w:val="24"/>
      <w:szCs w:val="24"/>
      <w:u w:val="single"/>
    </w:rPr>
  </w:style>
  <w:style w:type="character" w:styleId="ListLabel252">
    <w:name w:val="ListLabel 252"/>
    <w:qFormat/>
    <w:rPr>
      <w:rFonts w:ascii="Times New Roman" w:hAnsi="Times New Roman"/>
      <w:sz w:val="24"/>
      <w:szCs w:val="24"/>
    </w:rPr>
  </w:style>
  <w:style w:type="character" w:styleId="ListLabel253">
    <w:name w:val="ListLabel 253"/>
    <w:qFormat/>
    <w:rPr>
      <w:rFonts w:ascii="Times New Roman" w:hAnsi="Times New Roman" w:cs="Wingdings"/>
      <w:sz w:val="24"/>
    </w:rPr>
  </w:style>
  <w:style w:type="character" w:styleId="ListLabel254">
    <w:name w:val="ListLabel 254"/>
    <w:qFormat/>
    <w:rPr>
      <w:rFonts w:ascii="Times New Roman" w:hAnsi="Times New Roman" w:cs="Courier New"/>
      <w:sz w:val="24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ascii="Times New Roman" w:hAnsi="Times New Roman" w:cs="Wingdings"/>
      <w:b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Times New Roman" w:hAnsi="Times New Roman" w:cs="Wingdings"/>
      <w:sz w:val="24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Times New Roman" w:hAnsi="Times New Roman" w:cs="Wingdings"/>
      <w:sz w:val="24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Wingdings"/>
      <w:b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eastAsia="Arial"/>
      <w:color w:val="0000FF"/>
      <w:sz w:val="24"/>
      <w:szCs w:val="24"/>
      <w:u w:val="single"/>
    </w:rPr>
  </w:style>
  <w:style w:type="character" w:styleId="ListLabel299">
    <w:name w:val="ListLabel 299"/>
    <w:qFormat/>
    <w:rPr>
      <w:sz w:val="24"/>
      <w:szCs w:val="24"/>
    </w:rPr>
  </w:style>
  <w:style w:type="character" w:styleId="ListLabel300">
    <w:name w:val="ListLabel 300"/>
    <w:qFormat/>
    <w:rPr>
      <w:rFonts w:ascii="Times New Roman" w:hAnsi="Times New Roman" w:cs="Wingdings"/>
      <w:sz w:val="24"/>
    </w:rPr>
  </w:style>
  <w:style w:type="character" w:styleId="ListLabel301">
    <w:name w:val="ListLabel 301"/>
    <w:qFormat/>
    <w:rPr>
      <w:rFonts w:ascii="Times New Roman" w:hAnsi="Times New Roman" w:cs="Courier New"/>
      <w:sz w:val="24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Times New Roman" w:hAnsi="Times New Roman" w:cs="Wingdings"/>
      <w:b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Times New Roman" w:hAnsi="Times New Roman" w:cs="Wingdings"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 w:cs="Wingdings"/>
      <w:sz w:val="24"/>
    </w:rPr>
  </w:style>
  <w:style w:type="character" w:styleId="ListLabel328">
    <w:name w:val="ListLabel 328"/>
    <w:qFormat/>
    <w:rPr>
      <w:rFonts w:cs="Courier New"/>
    </w:rPr>
  </w:style>
  <w:style w:type="character" w:styleId="ListLabel329">
    <w:name w:val="ListLabel 329"/>
    <w:qFormat/>
    <w:rPr>
      <w:rFonts w:cs="Wingdings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Wingdings"/>
      <w:b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eastAsia="Arial"/>
      <w:color w:val="0000FF"/>
      <w:sz w:val="24"/>
      <w:szCs w:val="24"/>
      <w:u w:val="single"/>
    </w:rPr>
  </w:style>
  <w:style w:type="character" w:styleId="ListLabel346">
    <w:name w:val="ListLabel 346"/>
    <w:qFormat/>
    <w:rPr>
      <w:sz w:val="24"/>
      <w:szCs w:val="24"/>
    </w:rPr>
  </w:style>
  <w:style w:type="character" w:styleId="ListLabel347">
    <w:name w:val="ListLabel 347"/>
    <w:qFormat/>
    <w:rPr>
      <w:rFonts w:ascii="Times New Roman" w:hAnsi="Times New Roman" w:cs="Wingdings"/>
      <w:sz w:val="24"/>
    </w:rPr>
  </w:style>
  <w:style w:type="character" w:styleId="ListLabel348">
    <w:name w:val="ListLabel 348"/>
    <w:qFormat/>
    <w:rPr>
      <w:rFonts w:ascii="Times New Roman" w:hAnsi="Times New Roman" w:cs="Courier New"/>
      <w:sz w:val="24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Times New Roman" w:hAnsi="Times New Roman" w:cs="Wingdings"/>
      <w:b/>
      <w:sz w:val="24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Times New Roman" w:hAnsi="Times New Roman" w:cs="Wingdings"/>
      <w:sz w:val="24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ascii="Times New Roman" w:hAnsi="Times New Roman" w:cs="Wingdings"/>
      <w:sz w:val="24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Wingdings"/>
      <w:b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eastAsia="Arial"/>
      <w:color w:val="0000FF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Gwka">
    <w:name w:val="Header"/>
    <w:basedOn w:val="Normal"/>
    <w:link w:val="NagwekZnak"/>
    <w:uiPriority w:val="99"/>
    <w:unhideWhenUsed/>
    <w:rsid w:val="0090318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0318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903188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188"/>
    <w:pPr/>
    <w:rPr>
      <w:rFonts w:ascii="Lucida Grande CE" w:hAnsi="Lucida Grande CE" w:cs="Lucida Grande CE"/>
      <w:sz w:val="18"/>
      <w:szCs w:val="18"/>
    </w:rPr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1"/>
    <w:uiPriority w:val="99"/>
    <w:semiHidden/>
    <w:unhideWhenUsed/>
    <w:qFormat/>
    <w:pPr/>
    <w:rPr>
      <w:b/>
      <w:bCs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b2603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b26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kolenia-rozwoj.uw.edu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LibreOffice/6.2.3.2$Windows_X86_64 LibreOffice_project/aecc05fe267cc68dde00352a451aa867b3b546ac</Application>
  <Pages>3</Pages>
  <Words>641</Words>
  <Characters>4467</Characters>
  <CharactersWithSpaces>5017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2022-07-18T08:28:00Z</dcterms:created>
  <dc:creator>Katarzyna Kucharska</dc:creator>
  <dc:description/>
  <dc:language>pl-PL</dc:language>
  <cp:lastModifiedBy/>
  <dcterms:modified xsi:type="dcterms:W3CDTF">2024-02-04T18:57:35Z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0x010100DD8BF736F7308F49AB988E4E782D1E04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